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bookmarkStart w:id="0" w:name="_GoBack"/>
      <w:bookmarkEnd w:id="0"/>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5D2D9383" w:rsidR="0025728E" w:rsidRPr="00BA1CBC" w:rsidRDefault="000E0B77" w:rsidP="00B770C6">
      <w:pPr>
        <w:rPr>
          <w:rFonts w:asciiTheme="majorHAnsi" w:hAnsiTheme="majorHAnsi"/>
          <w:b/>
          <w:bCs/>
          <w:sz w:val="22"/>
          <w:szCs w:val="22"/>
          <w:lang w:val="en-US"/>
        </w:rPr>
      </w:pPr>
      <w:permStart w:id="902828454"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902828454"/>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24218B6A"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539 210 559 00024</w:t>
      </w:r>
    </w:p>
    <w:p w14:paraId="2D070631" w14:textId="163B02FF"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183512" w:rsidRPr="00795A48">
        <w:rPr>
          <w:rFonts w:asciiTheme="majorHAnsi" w:hAnsiTheme="majorHAnsi"/>
          <w:sz w:val="22"/>
          <w:szCs w:val="22"/>
          <w:lang w:val="en-US"/>
        </w:rPr>
        <w:t xml:space="preserve"> </w:t>
      </w:r>
      <w:r w:rsidR="007A723A" w:rsidRPr="007A723A">
        <w:rPr>
          <w:rFonts w:asciiTheme="majorHAnsi" w:hAnsiTheme="majorHAnsi"/>
          <w:sz w:val="22"/>
          <w:szCs w:val="22"/>
          <w:lang w:val="en-US"/>
        </w:rPr>
        <w:t>5 rue Schiller, 67000 Strasbourg, France</w:t>
      </w:r>
    </w:p>
    <w:p w14:paraId="01853E13" w14:textId="4A41AEF6"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313E3B">
        <w:rPr>
          <w:rFonts w:asciiTheme="majorHAnsi" w:hAnsiTheme="majorHAnsi"/>
          <w:sz w:val="22"/>
          <w:szCs w:val="22"/>
          <w:lang w:val="en-US"/>
        </w:rPr>
        <w:t>Emmanuel POTEAUX</w:t>
      </w:r>
      <w:r w:rsidR="00795A48" w:rsidRPr="0025666C">
        <w:rPr>
          <w:rFonts w:asciiTheme="majorHAnsi" w:hAnsiTheme="majorHAnsi"/>
          <w:sz w:val="22"/>
          <w:szCs w:val="22"/>
          <w:lang w:val="en-US"/>
        </w:rPr>
        <w:t xml:space="preserve">, </w:t>
      </w:r>
      <w:r w:rsidR="00313E3B">
        <w:rPr>
          <w:rFonts w:asciiTheme="majorHAnsi" w:hAnsiTheme="majorHAnsi"/>
          <w:sz w:val="22"/>
          <w:szCs w:val="22"/>
          <w:lang w:val="en-US"/>
        </w:rPr>
        <w:t xml:space="preserve">Interim </w:t>
      </w:r>
      <w:r w:rsidR="00276DAD">
        <w:rPr>
          <w:rFonts w:asciiTheme="majorHAnsi" w:hAnsiTheme="majorHAnsi"/>
          <w:sz w:val="22"/>
          <w:szCs w:val="22"/>
          <w:lang w:val="en-US"/>
        </w:rPr>
        <w:t>CEO and Chairwoman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proofErr w:type="spellStart"/>
      <w:r w:rsidR="004B0833">
        <w:rPr>
          <w:rFonts w:asciiTheme="majorHAnsi" w:hAnsiTheme="majorHAnsi"/>
          <w:sz w:val="22"/>
          <w:szCs w:val="22"/>
          <w:lang w:val="en-US"/>
        </w:rPr>
        <w:t>Conectus</w:t>
      </w:r>
      <w:proofErr w:type="spellEnd"/>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58CD38BF" w:rsidR="00C74DE9" w:rsidRPr="0025666C" w:rsidRDefault="00941F40" w:rsidP="00B770C6">
      <w:pPr>
        <w:rPr>
          <w:rFonts w:asciiTheme="majorHAnsi" w:hAnsiTheme="majorHAnsi"/>
          <w:sz w:val="22"/>
          <w:szCs w:val="22"/>
          <w:lang w:val="en-US"/>
        </w:rPr>
      </w:pPr>
      <w:proofErr w:type="spellStart"/>
      <w:r>
        <w:rPr>
          <w:rFonts w:asciiTheme="majorHAnsi" w:hAnsiTheme="majorHAnsi"/>
          <w:sz w:val="22"/>
          <w:szCs w:val="22"/>
          <w:lang w:val="en-US"/>
        </w:rPr>
        <w:t>Conectus</w:t>
      </w:r>
      <w:proofErr w:type="spellEnd"/>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59A66839" w14:textId="1468B60F" w:rsidR="00636177" w:rsidRDefault="00636177" w:rsidP="00636177">
      <w:pPr>
        <w:ind w:left="708"/>
        <w:rPr>
          <w:rFonts w:asciiTheme="majorHAnsi" w:hAnsiTheme="majorHAnsi"/>
          <w:sz w:val="22"/>
          <w:szCs w:val="22"/>
          <w:lang w:val="en-US"/>
        </w:rPr>
      </w:pPr>
      <w:r w:rsidRPr="00636177">
        <w:rPr>
          <w:rFonts w:asciiTheme="majorHAnsi" w:hAnsiTheme="majorHAnsi"/>
          <w:b/>
          <w:sz w:val="22"/>
          <w:szCs w:val="22"/>
          <w:lang w:val="en-US"/>
        </w:rPr>
        <w:t>UNIVERSIT</w:t>
      </w:r>
      <w:r w:rsidR="00586F84">
        <w:rPr>
          <w:rFonts w:asciiTheme="majorHAnsi" w:hAnsiTheme="majorHAnsi"/>
          <w:b/>
          <w:sz w:val="22"/>
          <w:szCs w:val="22"/>
          <w:lang w:val="en-US"/>
        </w:rPr>
        <w:t>E</w:t>
      </w:r>
      <w:r w:rsidRPr="00636177">
        <w:rPr>
          <w:rFonts w:asciiTheme="majorHAnsi" w:hAnsiTheme="majorHAnsi"/>
          <w:b/>
          <w:sz w:val="22"/>
          <w:szCs w:val="22"/>
          <w:lang w:val="en-US"/>
        </w:rPr>
        <w:t xml:space="preserve"> </w:t>
      </w:r>
      <w:r w:rsidR="00586F84">
        <w:rPr>
          <w:rFonts w:asciiTheme="majorHAnsi" w:hAnsiTheme="majorHAnsi"/>
          <w:b/>
          <w:sz w:val="22"/>
          <w:szCs w:val="22"/>
          <w:lang w:val="en-US"/>
        </w:rPr>
        <w:t>DE</w:t>
      </w:r>
      <w:r w:rsidRPr="00636177">
        <w:rPr>
          <w:rFonts w:asciiTheme="majorHAnsi" w:hAnsiTheme="majorHAnsi"/>
          <w:b/>
          <w:sz w:val="22"/>
          <w:szCs w:val="22"/>
          <w:lang w:val="en-US"/>
        </w:rPr>
        <w:t xml:space="preserve"> STRASBOURG</w:t>
      </w:r>
      <w:r w:rsidRPr="00636177">
        <w:rPr>
          <w:rFonts w:asciiTheme="majorHAnsi" w:hAnsiTheme="majorHAnsi"/>
          <w:b/>
          <w:sz w:val="22"/>
          <w:szCs w:val="22"/>
          <w:lang w:val="en-US"/>
        </w:rPr>
        <w:br/>
      </w:r>
      <w:r w:rsidRPr="00636177">
        <w:rPr>
          <w:rFonts w:asciiTheme="majorHAnsi" w:hAnsiTheme="majorHAnsi"/>
          <w:sz w:val="22"/>
          <w:szCs w:val="22"/>
          <w:lang w:val="en-US"/>
        </w:rPr>
        <w:t>A scientific, cultural and pr</w:t>
      </w:r>
      <w:r w:rsidR="00FD3E4D">
        <w:rPr>
          <w:rFonts w:asciiTheme="majorHAnsi" w:hAnsiTheme="majorHAnsi"/>
          <w:sz w:val="22"/>
          <w:szCs w:val="22"/>
          <w:lang w:val="en-US"/>
        </w:rPr>
        <w:t>ofessional public establishment</w:t>
      </w:r>
      <w:r w:rsidRPr="00636177">
        <w:rPr>
          <w:rFonts w:asciiTheme="majorHAnsi" w:hAnsiTheme="majorHAnsi"/>
          <w:sz w:val="22"/>
          <w:szCs w:val="22"/>
          <w:lang w:val="en-US"/>
        </w:rPr>
        <w:br/>
        <w:t xml:space="preserve">Located at 4, rue Blaise Pascal, </w:t>
      </w:r>
      <w:r w:rsidR="00FD3E4D">
        <w:rPr>
          <w:rFonts w:asciiTheme="majorHAnsi" w:hAnsiTheme="majorHAnsi"/>
          <w:sz w:val="22"/>
          <w:szCs w:val="22"/>
          <w:lang w:val="en-US"/>
        </w:rPr>
        <w:t xml:space="preserve">CS90032, 67081 Strasbourg </w:t>
      </w:r>
      <w:proofErr w:type="spellStart"/>
      <w:r w:rsidR="00FD3E4D">
        <w:rPr>
          <w:rFonts w:asciiTheme="majorHAnsi" w:hAnsiTheme="majorHAnsi"/>
          <w:sz w:val="22"/>
          <w:szCs w:val="22"/>
          <w:lang w:val="en-US"/>
        </w:rPr>
        <w:t>Cedex</w:t>
      </w:r>
      <w:proofErr w:type="spellEnd"/>
      <w:r w:rsidRPr="00636177">
        <w:rPr>
          <w:rFonts w:asciiTheme="majorHAnsi" w:hAnsiTheme="majorHAnsi"/>
          <w:sz w:val="22"/>
          <w:szCs w:val="22"/>
          <w:lang w:val="en-US"/>
        </w:rPr>
        <w:br/>
      </w:r>
      <w:r w:rsidRPr="00F84B78">
        <w:rPr>
          <w:rFonts w:asciiTheme="majorHAnsi" w:hAnsiTheme="majorHAnsi"/>
          <w:sz w:val="22"/>
          <w:szCs w:val="22"/>
          <w:lang w:val="en-US"/>
        </w:rPr>
        <w:t>H</w:t>
      </w:r>
      <w:r w:rsidRPr="00636177">
        <w:rPr>
          <w:rFonts w:asciiTheme="majorHAnsi" w:hAnsiTheme="majorHAnsi"/>
          <w:sz w:val="22"/>
          <w:szCs w:val="22"/>
          <w:lang w:val="en-US"/>
        </w:rPr>
        <w:t xml:space="preserve">ereinafter </w:t>
      </w:r>
      <w:r w:rsidRPr="00F84B78">
        <w:rPr>
          <w:rFonts w:asciiTheme="majorHAnsi" w:hAnsiTheme="majorHAnsi"/>
          <w:sz w:val="22"/>
          <w:szCs w:val="22"/>
          <w:lang w:val="en-US"/>
        </w:rPr>
        <w:t>referred to as « </w:t>
      </w:r>
      <w:r w:rsidRPr="00636177">
        <w:rPr>
          <w:rFonts w:asciiTheme="majorHAnsi" w:hAnsiTheme="majorHAnsi"/>
          <w:sz w:val="22"/>
          <w:szCs w:val="22"/>
          <w:lang w:val="en-US"/>
        </w:rPr>
        <w:t>UNISTRA</w:t>
      </w:r>
      <w:r w:rsidRPr="00F84B78">
        <w:rPr>
          <w:rFonts w:asciiTheme="majorHAnsi" w:hAnsiTheme="majorHAnsi"/>
          <w:sz w:val="22"/>
          <w:szCs w:val="22"/>
          <w:lang w:val="en-US"/>
        </w:rPr>
        <w:t xml:space="preserve"> »</w:t>
      </w:r>
    </w:p>
    <w:p w14:paraId="3C49FC71" w14:textId="77777777" w:rsidR="00422BDD" w:rsidRDefault="00422BDD" w:rsidP="00636177">
      <w:pPr>
        <w:ind w:left="708"/>
        <w:rPr>
          <w:rFonts w:asciiTheme="majorHAnsi" w:hAnsiTheme="majorHAnsi"/>
          <w:sz w:val="22"/>
          <w:szCs w:val="22"/>
          <w:lang w:val="en-US"/>
        </w:rPr>
      </w:pPr>
    </w:p>
    <w:p w14:paraId="7D6641B4" w14:textId="573CCE28" w:rsidR="00422BDD" w:rsidRPr="00906019" w:rsidRDefault="00422BDD" w:rsidP="00636177">
      <w:pPr>
        <w:ind w:left="708"/>
        <w:rPr>
          <w:rFonts w:asciiTheme="majorHAnsi" w:hAnsiTheme="majorHAnsi"/>
          <w:b/>
          <w:sz w:val="22"/>
          <w:szCs w:val="22"/>
        </w:rPr>
      </w:pPr>
      <w:r w:rsidRPr="00906019">
        <w:rPr>
          <w:rFonts w:asciiTheme="majorHAnsi" w:hAnsiTheme="majorHAnsi"/>
          <w:b/>
          <w:sz w:val="22"/>
          <w:szCs w:val="22"/>
        </w:rPr>
        <w:t>And</w:t>
      </w:r>
    </w:p>
    <w:p w14:paraId="56F3A19B" w14:textId="77777777" w:rsidR="00422BDD" w:rsidRPr="00906019" w:rsidRDefault="00422BDD" w:rsidP="00636177">
      <w:pPr>
        <w:ind w:left="708"/>
        <w:rPr>
          <w:rFonts w:asciiTheme="majorHAnsi" w:hAnsiTheme="majorHAnsi"/>
          <w:sz w:val="22"/>
          <w:szCs w:val="22"/>
        </w:rPr>
      </w:pPr>
    </w:p>
    <w:p w14:paraId="75C2035B" w14:textId="77777777" w:rsidR="00422BDD" w:rsidRPr="00422BDD" w:rsidRDefault="00422BDD" w:rsidP="00422BDD">
      <w:pPr>
        <w:ind w:left="708"/>
        <w:rPr>
          <w:rFonts w:asciiTheme="majorHAnsi" w:hAnsiTheme="majorHAnsi"/>
          <w:b/>
          <w:sz w:val="22"/>
          <w:szCs w:val="22"/>
        </w:rPr>
      </w:pPr>
      <w:r w:rsidRPr="00422BDD">
        <w:rPr>
          <w:rFonts w:asciiTheme="majorHAnsi" w:hAnsiTheme="majorHAnsi"/>
          <w:b/>
          <w:sz w:val="22"/>
          <w:szCs w:val="22"/>
        </w:rPr>
        <w:t>INSA DE STRASBOURG</w:t>
      </w:r>
    </w:p>
    <w:p w14:paraId="2F07B1F2" w14:textId="77777777" w:rsidR="00422BDD" w:rsidRPr="00422BDD" w:rsidRDefault="00422BDD" w:rsidP="00422BDD">
      <w:pPr>
        <w:ind w:left="708"/>
        <w:rPr>
          <w:rFonts w:asciiTheme="majorHAnsi" w:hAnsiTheme="majorHAnsi"/>
          <w:sz w:val="22"/>
          <w:szCs w:val="22"/>
        </w:rPr>
      </w:pPr>
      <w:r w:rsidRPr="00422BDD">
        <w:rPr>
          <w:rFonts w:asciiTheme="majorHAnsi" w:hAnsiTheme="majorHAnsi"/>
          <w:sz w:val="22"/>
          <w:szCs w:val="22"/>
        </w:rPr>
        <w:t xml:space="preserve">A </w:t>
      </w:r>
      <w:proofErr w:type="spellStart"/>
      <w:r w:rsidRPr="00422BDD">
        <w:rPr>
          <w:rFonts w:asciiTheme="majorHAnsi" w:hAnsiTheme="majorHAnsi"/>
          <w:sz w:val="22"/>
          <w:szCs w:val="22"/>
        </w:rPr>
        <w:t>scientific</w:t>
      </w:r>
      <w:proofErr w:type="spellEnd"/>
      <w:r w:rsidRPr="00422BDD">
        <w:rPr>
          <w:rFonts w:asciiTheme="majorHAnsi" w:hAnsiTheme="majorHAnsi"/>
          <w:sz w:val="22"/>
          <w:szCs w:val="22"/>
        </w:rPr>
        <w:t xml:space="preserve">, cultural and </w:t>
      </w:r>
      <w:proofErr w:type="spellStart"/>
      <w:r w:rsidRPr="00422BDD">
        <w:rPr>
          <w:rFonts w:asciiTheme="majorHAnsi" w:hAnsiTheme="majorHAnsi"/>
          <w:sz w:val="22"/>
          <w:szCs w:val="22"/>
        </w:rPr>
        <w:t>professional</w:t>
      </w:r>
      <w:proofErr w:type="spellEnd"/>
      <w:r w:rsidRPr="00422BDD">
        <w:rPr>
          <w:rFonts w:asciiTheme="majorHAnsi" w:hAnsiTheme="majorHAnsi"/>
          <w:sz w:val="22"/>
          <w:szCs w:val="22"/>
        </w:rPr>
        <w:t xml:space="preserve"> public establishment</w:t>
      </w:r>
    </w:p>
    <w:p w14:paraId="55425C5E" w14:textId="77777777" w:rsidR="00422BDD" w:rsidRPr="00422BDD" w:rsidRDefault="00422BDD" w:rsidP="00422BDD">
      <w:pPr>
        <w:ind w:left="708"/>
        <w:rPr>
          <w:rFonts w:asciiTheme="majorHAnsi" w:hAnsiTheme="majorHAnsi"/>
          <w:sz w:val="22"/>
          <w:szCs w:val="22"/>
        </w:rPr>
      </w:pPr>
      <w:proofErr w:type="spellStart"/>
      <w:r w:rsidRPr="00422BDD">
        <w:rPr>
          <w:rFonts w:asciiTheme="majorHAnsi" w:hAnsiTheme="majorHAnsi"/>
          <w:sz w:val="22"/>
          <w:szCs w:val="22"/>
        </w:rPr>
        <w:t>Located</w:t>
      </w:r>
      <w:proofErr w:type="spellEnd"/>
      <w:r w:rsidRPr="00422BDD">
        <w:rPr>
          <w:rFonts w:asciiTheme="majorHAnsi" w:hAnsiTheme="majorHAnsi"/>
          <w:sz w:val="22"/>
          <w:szCs w:val="22"/>
        </w:rPr>
        <w:t xml:space="preserve"> at 24 Boulevard de la Victoire, 67000 Strasbourg</w:t>
      </w:r>
    </w:p>
    <w:p w14:paraId="52BDB470" w14:textId="6DDE589D" w:rsidR="00422BDD" w:rsidRPr="00636177" w:rsidRDefault="00422BDD" w:rsidP="00422BDD">
      <w:pPr>
        <w:ind w:left="708"/>
        <w:rPr>
          <w:rFonts w:asciiTheme="majorHAnsi" w:hAnsiTheme="majorHAnsi"/>
          <w:sz w:val="22"/>
          <w:szCs w:val="22"/>
          <w:lang w:val="en-US"/>
        </w:rPr>
      </w:pPr>
      <w:r w:rsidRPr="00422BDD">
        <w:rPr>
          <w:rFonts w:asciiTheme="majorHAnsi" w:hAnsiTheme="majorHAnsi"/>
          <w:sz w:val="22"/>
          <w:szCs w:val="22"/>
          <w:lang w:val="en-US"/>
        </w:rPr>
        <w:t>Hereinafter referred to as « INSA »</w:t>
      </w:r>
    </w:p>
    <w:p w14:paraId="3CFDEAB6" w14:textId="024A0C3D" w:rsidR="00D844A2" w:rsidRPr="00636177" w:rsidRDefault="00D844A2" w:rsidP="00B770C6">
      <w:pPr>
        <w:ind w:left="708"/>
        <w:rPr>
          <w:rFonts w:asciiTheme="majorHAnsi" w:hAnsiTheme="majorHAnsi"/>
          <w:b/>
          <w:sz w:val="22"/>
          <w:szCs w:val="22"/>
          <w:lang w:val="en-US"/>
        </w:rPr>
      </w:pPr>
    </w:p>
    <w:p w14:paraId="73E5FB5B" w14:textId="23A26817" w:rsidR="00183512" w:rsidRPr="001F11C8" w:rsidRDefault="00183512" w:rsidP="00B770C6">
      <w:pPr>
        <w:rPr>
          <w:rFonts w:asciiTheme="majorHAnsi" w:hAnsiTheme="majorHAnsi"/>
          <w:b/>
          <w:bCs/>
          <w:szCs w:val="24"/>
          <w:lang w:val="en-US"/>
        </w:rPr>
      </w:pPr>
      <w:r w:rsidRPr="001F11C8">
        <w:rPr>
          <w:rFonts w:asciiTheme="majorHAnsi" w:hAnsiTheme="majorHAnsi"/>
          <w:b/>
          <w:bCs/>
          <w:szCs w:val="24"/>
          <w:lang w:val="en-US"/>
        </w:rPr>
        <w:t>ET</w:t>
      </w:r>
    </w:p>
    <w:p w14:paraId="58E8D688" w14:textId="287FF8EC" w:rsidR="00183512" w:rsidRPr="001F11C8" w:rsidRDefault="00183512" w:rsidP="00B770C6">
      <w:pPr>
        <w:rPr>
          <w:rFonts w:asciiTheme="majorHAnsi" w:hAnsiTheme="majorHAnsi"/>
          <w:sz w:val="22"/>
          <w:szCs w:val="22"/>
          <w:lang w:val="en-US"/>
        </w:rPr>
      </w:pPr>
    </w:p>
    <w:p w14:paraId="2A2F573F" w14:textId="72B6DE97" w:rsidR="0009537B" w:rsidRPr="001F11C8" w:rsidRDefault="00586F84" w:rsidP="0009537B">
      <w:pPr>
        <w:rPr>
          <w:rFonts w:asciiTheme="majorHAnsi" w:hAnsiTheme="majorHAnsi"/>
          <w:b/>
          <w:caps/>
          <w:sz w:val="22"/>
          <w:szCs w:val="22"/>
          <w:lang w:val="en-US"/>
        </w:rPr>
      </w:pPr>
      <w:r>
        <w:rPr>
          <w:rFonts w:asciiTheme="majorHAnsi" w:hAnsiTheme="majorHAnsi"/>
          <w:b/>
          <w:caps/>
          <w:sz w:val="22"/>
          <w:szCs w:val="22"/>
          <w:lang w:val="en-US"/>
        </w:rPr>
        <w:t>CENTRE NATIONAL DE LA RECHERCHE SCIENTIFIQUE</w:t>
      </w:r>
    </w:p>
    <w:p w14:paraId="5D0CA8E7" w14:textId="1B92AF35" w:rsidR="0009537B" w:rsidRPr="0009537B" w:rsidRDefault="0009537B" w:rsidP="0009537B">
      <w:pPr>
        <w:spacing w:line="240" w:lineRule="atLeast"/>
        <w:rPr>
          <w:rFonts w:asciiTheme="majorHAnsi" w:hAnsiTheme="majorHAnsi"/>
          <w:sz w:val="22"/>
          <w:szCs w:val="22"/>
          <w:lang w:val="en-US"/>
        </w:rPr>
      </w:pPr>
      <w:r w:rsidRPr="0009537B">
        <w:rPr>
          <w:rFonts w:asciiTheme="majorHAnsi" w:hAnsiTheme="majorHAnsi"/>
          <w:sz w:val="22"/>
          <w:szCs w:val="22"/>
          <w:lang w:val="en-US"/>
        </w:rPr>
        <w:t>A scientific and technological public establishment,</w:t>
      </w:r>
      <w:r w:rsidRPr="0009537B">
        <w:rPr>
          <w:rFonts w:asciiTheme="majorHAnsi" w:hAnsiTheme="majorHAnsi"/>
          <w:sz w:val="22"/>
          <w:szCs w:val="22"/>
          <w:lang w:val="en-US"/>
        </w:rPr>
        <w:br/>
        <w:t xml:space="preserve">Located at 3, rue Michel-Ange, F-75794 Paris </w:t>
      </w:r>
      <w:proofErr w:type="spellStart"/>
      <w:r w:rsidRPr="0009537B">
        <w:rPr>
          <w:rFonts w:asciiTheme="majorHAnsi" w:hAnsiTheme="majorHAnsi"/>
          <w:sz w:val="22"/>
          <w:szCs w:val="22"/>
          <w:lang w:val="en-US"/>
        </w:rPr>
        <w:t>Cedex</w:t>
      </w:r>
      <w:proofErr w:type="spellEnd"/>
      <w:r w:rsidRPr="0009537B">
        <w:rPr>
          <w:rFonts w:asciiTheme="majorHAnsi" w:hAnsiTheme="majorHAnsi"/>
          <w:sz w:val="22"/>
          <w:szCs w:val="22"/>
          <w:lang w:val="en-US"/>
        </w:rPr>
        <w:t xml:space="preserve"> 16,</w:t>
      </w:r>
    </w:p>
    <w:p w14:paraId="146C6A00" w14:textId="52BEC0B0" w:rsidR="00183512" w:rsidRPr="0009537B" w:rsidRDefault="0009537B" w:rsidP="0009537B">
      <w:pPr>
        <w:spacing w:line="240" w:lineRule="atLeast"/>
        <w:rPr>
          <w:rFonts w:asciiTheme="majorHAnsi" w:hAnsiTheme="majorHAnsi"/>
          <w:sz w:val="22"/>
          <w:szCs w:val="22"/>
          <w:lang w:val="en-US"/>
        </w:rPr>
      </w:pPr>
      <w:r w:rsidRPr="0025666C">
        <w:rPr>
          <w:rFonts w:asciiTheme="majorHAnsi" w:hAnsiTheme="majorHAnsi"/>
          <w:sz w:val="22"/>
          <w:szCs w:val="22"/>
          <w:lang w:val="en-US"/>
        </w:rPr>
        <w:t xml:space="preserve">Hereinafter </w:t>
      </w:r>
      <w:r w:rsidRPr="006C54BE">
        <w:rPr>
          <w:rFonts w:asciiTheme="majorHAnsi" w:hAnsiTheme="majorHAnsi"/>
          <w:sz w:val="22"/>
          <w:szCs w:val="22"/>
          <w:lang w:val="en-US"/>
        </w:rPr>
        <w:t>ref</w:t>
      </w:r>
      <w:r>
        <w:rPr>
          <w:rFonts w:asciiTheme="majorHAnsi" w:hAnsiTheme="majorHAnsi"/>
          <w:sz w:val="22"/>
          <w:szCs w:val="22"/>
          <w:lang w:val="en-US"/>
        </w:rPr>
        <w:t xml:space="preserve">erred to as </w:t>
      </w:r>
      <w:r w:rsidR="00183512" w:rsidRPr="0009537B">
        <w:rPr>
          <w:rFonts w:asciiTheme="majorHAnsi" w:hAnsiTheme="majorHAnsi"/>
          <w:sz w:val="22"/>
          <w:szCs w:val="22"/>
          <w:lang w:val="en-US"/>
        </w:rPr>
        <w:t>« CNRS »</w:t>
      </w:r>
    </w:p>
    <w:p w14:paraId="1E2B4942" w14:textId="77777777" w:rsidR="00183512" w:rsidRPr="00CF4BE5" w:rsidRDefault="00183512" w:rsidP="00B770C6">
      <w:pPr>
        <w:rPr>
          <w:rFonts w:asciiTheme="majorHAnsi" w:hAnsiTheme="majorHAnsi"/>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511802470"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511802470"/>
    </w:p>
    <w:p w14:paraId="294780D9" w14:textId="77777777" w:rsidR="00586F84" w:rsidRDefault="00586F84" w:rsidP="00586F84">
      <w:pPr>
        <w:keepLines/>
        <w:jc w:val="both"/>
        <w:rPr>
          <w:rFonts w:asciiTheme="majorHAnsi" w:eastAsia="Times New Roman" w:hAnsiTheme="majorHAnsi"/>
          <w:sz w:val="22"/>
          <w:lang w:val="en-US"/>
        </w:rPr>
      </w:pPr>
    </w:p>
    <w:p w14:paraId="7EFB8526" w14:textId="77777777" w:rsidR="00EF5E9C" w:rsidRPr="0054495D" w:rsidRDefault="00EF5E9C" w:rsidP="00EF5E9C">
      <w:pPr>
        <w:keepLines/>
        <w:jc w:val="both"/>
        <w:rPr>
          <w:rFonts w:asciiTheme="majorHAnsi" w:hAnsiTheme="majorHAnsi"/>
          <w:sz w:val="22"/>
          <w:lang w:val="en-US"/>
        </w:rPr>
      </w:pPr>
      <w:r w:rsidRPr="0054495D">
        <w:rPr>
          <w:rFonts w:asciiTheme="majorHAnsi" w:hAnsiTheme="majorHAnsi"/>
          <w:sz w:val="22"/>
          <w:lang w:val="en-US"/>
        </w:rPr>
        <w:t>In the frame of an agreement and considering the nature of the present Agreement, CNRS gave mandate to the UNISTRA to sign alone in its own name and on behalf of CNRS.</w:t>
      </w:r>
    </w:p>
    <w:p w14:paraId="140A085E" w14:textId="1C88B9CB" w:rsidR="00586F84" w:rsidRPr="00586F84" w:rsidRDefault="00586F84" w:rsidP="00586F84">
      <w:pPr>
        <w:keepLines/>
        <w:jc w:val="both"/>
        <w:rPr>
          <w:rFonts w:asciiTheme="majorHAnsi" w:eastAsia="Times New Roman" w:hAnsiTheme="majorHAnsi"/>
          <w:sz w:val="22"/>
          <w:lang w:val="en-US"/>
        </w:rPr>
      </w:pPr>
      <w:r w:rsidRPr="00586F84">
        <w:rPr>
          <w:rFonts w:asciiTheme="majorHAnsi" w:eastAsia="Times New Roman" w:hAnsiTheme="majorHAnsi"/>
          <w:sz w:val="22"/>
          <w:lang w:val="en-US"/>
        </w:rPr>
        <w:br/>
        <w:t xml:space="preserve">UNISTRA exercises this mandate by entrusting the linked activities to </w:t>
      </w:r>
      <w:proofErr w:type="spellStart"/>
      <w:r>
        <w:rPr>
          <w:rFonts w:asciiTheme="majorHAnsi" w:eastAsia="Times New Roman" w:hAnsiTheme="majorHAnsi"/>
          <w:sz w:val="22"/>
          <w:lang w:val="en-US"/>
        </w:rPr>
        <w:t>Conectus</w:t>
      </w:r>
      <w:proofErr w:type="spellEnd"/>
      <w:r w:rsidRPr="00586F84">
        <w:rPr>
          <w:rFonts w:asciiTheme="majorHAnsi" w:eastAsia="Times New Roman" w:hAnsiTheme="majorHAnsi"/>
          <w:sz w:val="22"/>
          <w:lang w:val="en-US"/>
        </w:rPr>
        <w:t xml:space="preserve">, which is expressly accepted by CNRS. </w:t>
      </w:r>
      <w:proofErr w:type="spellStart"/>
      <w:r>
        <w:rPr>
          <w:rFonts w:asciiTheme="majorHAnsi" w:eastAsia="Times New Roman" w:hAnsiTheme="majorHAnsi"/>
          <w:sz w:val="22"/>
          <w:lang w:val="en-US"/>
        </w:rPr>
        <w:t>Conectus</w:t>
      </w:r>
      <w:proofErr w:type="spellEnd"/>
      <w:r w:rsidRPr="00586F84">
        <w:rPr>
          <w:rFonts w:asciiTheme="majorHAnsi" w:eastAsia="Times New Roman" w:hAnsiTheme="majorHAnsi"/>
          <w:sz w:val="22"/>
          <w:lang w:val="en-US"/>
        </w:rPr>
        <w:t xml:space="preserve"> is dedicated to the management of the contracting activities, budget execution, intellectual property and the technology transfer of any research laboratories placed under UNISTRA controls.</w:t>
      </w:r>
    </w:p>
    <w:p w14:paraId="4F222BB5" w14:textId="5BB3A45F"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6A42EA">
        <w:rPr>
          <w:rFonts w:asciiTheme="majorHAnsi" w:hAnsiTheme="majorHAnsi"/>
          <w:sz w:val="22"/>
          <w:lang w:val="en-US"/>
        </w:rPr>
        <w:t xml:space="preserve">Within a national French program of huge investments in the public research, </w:t>
      </w:r>
      <w:r w:rsidR="006A42EA" w:rsidRPr="006A42EA">
        <w:rPr>
          <w:rFonts w:asciiTheme="majorHAnsi" w:hAnsiTheme="majorHAnsi"/>
          <w:sz w:val="22"/>
          <w:lang w:val="en-US"/>
        </w:rPr>
        <w:t>UNISTRA</w:t>
      </w:r>
      <w:r w:rsidR="00422BDD">
        <w:rPr>
          <w:rFonts w:asciiTheme="majorHAnsi" w:hAnsiTheme="majorHAnsi"/>
          <w:sz w:val="22"/>
          <w:lang w:val="en-US"/>
        </w:rPr>
        <w:t>, INSA</w:t>
      </w:r>
      <w:r w:rsidR="006A42EA" w:rsidRPr="006A42EA">
        <w:rPr>
          <w:rFonts w:asciiTheme="majorHAnsi" w:hAnsiTheme="majorHAnsi"/>
          <w:sz w:val="22"/>
          <w:lang w:val="en-US"/>
        </w:rPr>
        <w:t xml:space="preserve"> and CNRS (</w:t>
      </w:r>
      <w:r w:rsidR="001C6066">
        <w:rPr>
          <w:rFonts w:asciiTheme="majorHAnsi" w:hAnsiTheme="majorHAnsi"/>
          <w:sz w:val="22"/>
          <w:lang w:val="en-US"/>
        </w:rPr>
        <w:t>h</w:t>
      </w:r>
      <w:r w:rsidR="001C6066" w:rsidRPr="0025666C">
        <w:rPr>
          <w:rFonts w:asciiTheme="majorHAnsi" w:hAnsiTheme="majorHAnsi"/>
          <w:sz w:val="22"/>
          <w:lang w:val="en-US"/>
        </w:rPr>
        <w:t xml:space="preserve">ereinafter </w:t>
      </w:r>
      <w:r w:rsidR="001C6066" w:rsidRPr="00BE6653">
        <w:rPr>
          <w:rFonts w:asciiTheme="majorHAnsi" w:hAnsiTheme="majorHAnsi"/>
          <w:sz w:val="22"/>
          <w:lang w:val="en-US"/>
        </w:rPr>
        <w:t xml:space="preserve">referred to as </w:t>
      </w:r>
      <w:r w:rsidR="00AE7C13">
        <w:rPr>
          <w:rFonts w:asciiTheme="majorHAnsi" w:hAnsiTheme="majorHAnsi"/>
          <w:sz w:val="22"/>
          <w:lang w:val="en-US"/>
        </w:rPr>
        <w:t>« Establishments</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w:t>
      </w:r>
      <w:r w:rsidR="00BE6653" w:rsidRPr="00BE6653">
        <w:rPr>
          <w:rFonts w:asciiTheme="majorHAnsi" w:hAnsiTheme="majorHAnsi"/>
          <w:sz w:val="22"/>
          <w:lang w:val="en-US"/>
        </w:rPr>
        <w:lastRenderedPageBreak/>
        <w:t xml:space="preserve">Acceleration Company (SATT) </w:t>
      </w:r>
      <w:proofErr w:type="spellStart"/>
      <w:r w:rsidR="004B0833">
        <w:rPr>
          <w:rFonts w:asciiTheme="majorHAnsi" w:hAnsiTheme="majorHAnsi"/>
          <w:sz w:val="22"/>
          <w:lang w:val="en-US"/>
        </w:rPr>
        <w:t>C</w:t>
      </w:r>
      <w:r w:rsidR="003E6519">
        <w:rPr>
          <w:rFonts w:asciiTheme="majorHAnsi" w:hAnsiTheme="majorHAnsi"/>
          <w:sz w:val="22"/>
          <w:lang w:val="en-US"/>
        </w:rPr>
        <w:t>onectus</w:t>
      </w:r>
      <w:proofErr w:type="spellEnd"/>
      <w:r w:rsidRPr="006A42EA">
        <w:rPr>
          <w:rFonts w:asciiTheme="majorHAnsi" w:hAnsiTheme="majorHAnsi"/>
          <w:sz w:val="22"/>
          <w:lang w:val="en-US"/>
        </w:rPr>
        <w:t xml:space="preserve">, owning shares in the company. </w:t>
      </w:r>
      <w:proofErr w:type="spellStart"/>
      <w:r w:rsidR="0093411A" w:rsidRPr="0093411A">
        <w:rPr>
          <w:rFonts w:asciiTheme="majorHAnsi" w:hAnsiTheme="majorHAnsi"/>
          <w:sz w:val="22"/>
          <w:lang w:val="en-US"/>
        </w:rPr>
        <w:t>Conectus</w:t>
      </w:r>
      <w:proofErr w:type="spellEnd"/>
      <w:r w:rsidR="0093411A" w:rsidRPr="0093411A">
        <w:rPr>
          <w:rFonts w:asciiTheme="majorHAnsi" w:hAnsiTheme="majorHAnsi"/>
          <w:sz w:val="22"/>
          <w:lang w:val="en-US"/>
        </w:rPr>
        <w:t xml:space="preserve"> is dedicated to the management of the contracting activities, the budget execution, the intellectual property and the technology transfer of UNISTRA </w:t>
      </w:r>
      <w:r w:rsidR="00422BDD">
        <w:rPr>
          <w:rFonts w:asciiTheme="majorHAnsi" w:hAnsiTheme="majorHAnsi"/>
          <w:sz w:val="22"/>
          <w:lang w:val="en-US"/>
        </w:rPr>
        <w:t xml:space="preserve">and INSA </w:t>
      </w:r>
      <w:r w:rsidR="0093411A" w:rsidRPr="0093411A">
        <w:rPr>
          <w:rFonts w:asciiTheme="majorHAnsi" w:hAnsiTheme="majorHAnsi"/>
          <w:sz w:val="22"/>
          <w:lang w:val="en-US"/>
        </w:rPr>
        <w:t>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0BF47FFA" w14:textId="77777777" w:rsidR="00675E43" w:rsidRDefault="00675E43">
      <w:pPr>
        <w:jc w:val="both"/>
        <w:rPr>
          <w:rFonts w:asciiTheme="majorHAnsi" w:hAnsiTheme="majorHAnsi"/>
          <w:bCs/>
          <w:sz w:val="22"/>
          <w:szCs w:val="22"/>
          <w:lang w:val="en-US"/>
        </w:rPr>
      </w:pPr>
    </w:p>
    <w:p w14:paraId="710437D3" w14:textId="77777777" w:rsidR="0093411A" w:rsidRDefault="0093411A">
      <w:pPr>
        <w:jc w:val="both"/>
        <w:rPr>
          <w:rFonts w:asciiTheme="majorHAnsi" w:hAnsiTheme="majorHAnsi"/>
          <w:bCs/>
          <w:sz w:val="22"/>
          <w:szCs w:val="22"/>
          <w:lang w:val="en-US"/>
        </w:rPr>
      </w:pP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2116115378"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2116115378"/>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1181618171"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181618171"/>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1828730365"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828730365"/>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1685667002"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3DE5F4EA" w14:textId="77777777" w:rsidR="00FC3AC6" w:rsidRPr="00CF4BE5" w:rsidRDefault="00FC3AC6" w:rsidP="00FC3AC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01F157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3868A30"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1685667002"/>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672013F2" w14:textId="1D2696F7" w:rsidR="00CF4BE5" w:rsidRPr="00E85360" w:rsidRDefault="00E85360" w:rsidP="00E85360">
      <w:pPr>
        <w:numPr>
          <w:ilvl w:val="0"/>
          <w:numId w:val="4"/>
        </w:numPr>
        <w:jc w:val="both"/>
        <w:rPr>
          <w:rFonts w:asciiTheme="majorHAnsi" w:hAnsiTheme="majorHAnsi"/>
          <w:sz w:val="22"/>
          <w:lang w:val="en-US"/>
        </w:rPr>
      </w:pPr>
      <w:r>
        <w:rPr>
          <w:rFonts w:asciiTheme="majorHAnsi" w:hAnsiTheme="majorHAnsi"/>
          <w:sz w:val="22"/>
          <w:lang w:val="en-US"/>
        </w:rPr>
        <w:t xml:space="preserve">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 </w:t>
      </w:r>
      <w:r w:rsidR="00CF4BE5" w:rsidRPr="00E85360">
        <w:rPr>
          <w:rFonts w:asciiTheme="majorHAnsi" w:hAnsiTheme="majorHAnsi"/>
          <w:sz w:val="22"/>
          <w:lang w:val="en-US"/>
        </w:rPr>
        <w:t xml:space="preserve"> </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lastRenderedPageBreak/>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 xml:space="preserve">except for the receiving Party (i)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8C59E7B" w14:textId="196BAB62" w:rsidR="00E96632" w:rsidRPr="00F543BA" w:rsidRDefault="00DE1F63" w:rsidP="00E96632">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405D9725" w14:textId="77777777" w:rsidR="00E96632" w:rsidRPr="00F543BA" w:rsidRDefault="00E96632" w:rsidP="00E96632">
      <w:pPr>
        <w:pStyle w:val="Paragraphedeliste"/>
        <w:rPr>
          <w:rFonts w:asciiTheme="majorHAnsi" w:hAnsiTheme="majorHAnsi"/>
          <w:sz w:val="22"/>
          <w:lang w:val="en-US"/>
        </w:rPr>
      </w:pPr>
    </w:p>
    <w:p w14:paraId="1FA9DF21" w14:textId="77777777" w:rsidR="00A17A09" w:rsidRPr="009F4CEF" w:rsidRDefault="00A17A09" w:rsidP="00A17A09">
      <w:pPr>
        <w:numPr>
          <w:ilvl w:val="0"/>
          <w:numId w:val="1"/>
        </w:numPr>
        <w:tabs>
          <w:tab w:val="clear" w:pos="700"/>
        </w:tabs>
        <w:ind w:left="426" w:hanging="426"/>
        <w:jc w:val="both"/>
        <w:rPr>
          <w:rFonts w:asciiTheme="majorHAnsi" w:hAnsiTheme="majorHAnsi"/>
          <w:sz w:val="22"/>
          <w:lang w:val="en-US"/>
        </w:rPr>
      </w:pPr>
      <w:r w:rsidRPr="009F4CEF">
        <w:rPr>
          <w:rFonts w:asciiTheme="majorHAnsi" w:hAnsiTheme="majorHAnsi"/>
          <w:sz w:val="22"/>
          <w:lang w:val="en-US"/>
        </w:rPr>
        <w:t xml:space="preserve">The PARTIES guarantee that all Personal Data that they may hold, communicate or to which they may have access in the context of the implementation of the </w:t>
      </w:r>
      <w:r>
        <w:rPr>
          <w:rFonts w:asciiTheme="majorHAnsi" w:hAnsiTheme="majorHAnsi"/>
          <w:sz w:val="22"/>
          <w:lang w:val="en-US"/>
        </w:rPr>
        <w:t>contract</w:t>
      </w:r>
      <w:r w:rsidRPr="009F4CEF">
        <w:rPr>
          <w:rFonts w:asciiTheme="majorHAnsi" w:hAnsiTheme="majorHAnsi"/>
          <w:sz w:val="22"/>
          <w:lang w:val="en-US"/>
        </w:rPr>
        <w:t xml:space="preserve">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52E1C815" w14:textId="77777777" w:rsidR="00A17A09" w:rsidRPr="009F4CEF" w:rsidRDefault="00A17A09" w:rsidP="00A17A09">
      <w:pPr>
        <w:pStyle w:val="Paragraphedeliste"/>
        <w:rPr>
          <w:rFonts w:asciiTheme="majorHAnsi" w:hAnsiTheme="majorHAnsi"/>
          <w:sz w:val="22"/>
          <w:lang w:val="en-US"/>
        </w:rPr>
      </w:pPr>
    </w:p>
    <w:p w14:paraId="3AC5B854" w14:textId="77777777" w:rsidR="00A17A09" w:rsidRDefault="00A17A09" w:rsidP="00A17A09">
      <w:pPr>
        <w:pStyle w:val="Paragraphedeliste"/>
        <w:ind w:left="426"/>
        <w:rPr>
          <w:rFonts w:asciiTheme="majorHAnsi" w:hAnsiTheme="majorHAnsi"/>
          <w:sz w:val="22"/>
          <w:lang w:val="en-US"/>
        </w:rPr>
      </w:pPr>
      <w:r w:rsidRPr="009F4CEF">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23F476FD" w14:textId="77777777" w:rsidR="00941F40" w:rsidRDefault="00941F40" w:rsidP="00941F40">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endeavour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107BC06B" w14:textId="77777777" w:rsidR="00374C75" w:rsidRDefault="00374C75">
      <w:pPr>
        <w:jc w:val="both"/>
        <w:rPr>
          <w:rFonts w:asciiTheme="majorHAnsi" w:hAnsiTheme="majorHAnsi"/>
          <w:sz w:val="22"/>
          <w:szCs w:val="22"/>
          <w:lang w:val="en-US"/>
        </w:rPr>
      </w:pPr>
    </w:p>
    <w:p w14:paraId="76918137" w14:textId="72C21024" w:rsidR="00313E3B" w:rsidRDefault="00313E3B">
      <w:pPr>
        <w:jc w:val="both"/>
        <w:rPr>
          <w:rFonts w:asciiTheme="majorHAnsi" w:hAnsiTheme="majorHAnsi"/>
          <w:sz w:val="22"/>
          <w:szCs w:val="22"/>
          <w:lang w:val="en-US"/>
        </w:rPr>
      </w:pPr>
      <w:r>
        <w:rPr>
          <w:rFonts w:asciiTheme="majorHAnsi" w:hAnsiTheme="majorHAnsi"/>
          <w:sz w:val="22"/>
          <w:szCs w:val="22"/>
          <w:lang w:val="en-US"/>
        </w:rPr>
        <w:br w:type="page"/>
      </w:r>
    </w:p>
    <w:p w14:paraId="19F22360"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0A465042" w:rsidR="00D304C4" w:rsidRPr="00D304C4" w:rsidRDefault="00313E3B" w:rsidP="00D304C4">
            <w:pPr>
              <w:keepLines/>
              <w:jc w:val="center"/>
              <w:rPr>
                <w:rFonts w:asciiTheme="majorHAnsi" w:eastAsia="Times New Roman" w:hAnsiTheme="majorHAnsi"/>
                <w:sz w:val="22"/>
                <w:szCs w:val="22"/>
                <w:lang w:eastAsia="fr-FR"/>
              </w:rPr>
            </w:pPr>
            <w:r>
              <w:rPr>
                <w:rFonts w:asciiTheme="majorHAnsi" w:eastAsia="Times New Roman" w:hAnsiTheme="majorHAnsi"/>
                <w:sz w:val="22"/>
                <w:szCs w:val="22"/>
                <w:lang w:eastAsia="fr-FR"/>
              </w:rPr>
              <w:t>Electronically signed</w:t>
            </w:r>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941F40">
            <w:pPr>
              <w:keepLines/>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66D494BD" w14:textId="73F17A6F" w:rsidR="00D304C4" w:rsidRPr="00D304C4" w:rsidRDefault="004B0833" w:rsidP="008811CF">
            <w:pPr>
              <w:keepLines/>
              <w:jc w:val="center"/>
              <w:rPr>
                <w:rFonts w:asciiTheme="majorHAnsi" w:eastAsia="Times New Roman" w:hAnsiTheme="majorHAnsi"/>
                <w:b/>
                <w:sz w:val="22"/>
                <w:szCs w:val="22"/>
                <w:lang w:eastAsia="fr-FR"/>
              </w:rPr>
            </w:pPr>
            <w:r>
              <w:rPr>
                <w:rFonts w:asciiTheme="majorHAnsi" w:eastAsia="Times New Roman" w:hAnsiTheme="majorHAnsi"/>
                <w:b/>
                <w:sz w:val="22"/>
                <w:szCs w:val="22"/>
                <w:lang w:eastAsia="fr-FR"/>
              </w:rPr>
              <w:t>Conectus</w:t>
            </w:r>
            <w:r w:rsidR="0093411A">
              <w:rPr>
                <w:rFonts w:asciiTheme="majorHAnsi" w:eastAsia="Times New Roman" w:hAnsiTheme="majorHAnsi"/>
                <w:b/>
                <w:sz w:val="22"/>
                <w:szCs w:val="22"/>
                <w:lang w:eastAsia="fr-FR"/>
              </w:rPr>
              <w:t xml:space="preserve"> </w:t>
            </w:r>
            <w:r w:rsidR="00941F40">
              <w:rPr>
                <w:rFonts w:asciiTheme="majorHAnsi" w:eastAsia="Times New Roman" w:hAnsiTheme="majorHAnsi"/>
                <w:b/>
                <w:sz w:val="22"/>
                <w:szCs w:val="22"/>
                <w:lang w:eastAsia="fr-FR"/>
              </w:rPr>
              <w:t>–</w:t>
            </w:r>
            <w:r w:rsidR="0093411A">
              <w:rPr>
                <w:rFonts w:asciiTheme="majorHAnsi" w:eastAsia="Times New Roman" w:hAnsiTheme="majorHAnsi"/>
                <w:b/>
                <w:sz w:val="22"/>
                <w:szCs w:val="22"/>
                <w:lang w:eastAsia="fr-FR"/>
              </w:rPr>
              <w:t xml:space="preserve"> </w:t>
            </w:r>
            <w:r w:rsidR="00941F40">
              <w:rPr>
                <w:rFonts w:asciiTheme="majorHAnsi" w:eastAsia="Times New Roman" w:hAnsiTheme="majorHAnsi"/>
                <w:b/>
                <w:sz w:val="22"/>
                <w:szCs w:val="22"/>
                <w:lang w:eastAsia="fr-FR"/>
              </w:rPr>
              <w:t xml:space="preserve">UNISTRA – CNRS – INSA </w:t>
            </w:r>
          </w:p>
          <w:p w14:paraId="045B0D80" w14:textId="77777777" w:rsidR="00D304C4" w:rsidRPr="00D90D51" w:rsidRDefault="00D304C4" w:rsidP="008811CF">
            <w:pPr>
              <w:keepLines/>
              <w:jc w:val="center"/>
              <w:rPr>
                <w:rFonts w:asciiTheme="majorHAnsi" w:eastAsia="Times New Roman" w:hAnsiTheme="majorHAnsi"/>
                <w:b/>
                <w:sz w:val="22"/>
                <w:szCs w:val="22"/>
                <w:lang w:eastAsia="fr-FR"/>
              </w:rPr>
            </w:pP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7E4FD125" w14:textId="77777777" w:rsidR="00D304C4" w:rsidRPr="00D304C4" w:rsidRDefault="00D304C4" w:rsidP="00941F40">
            <w:pPr>
              <w:keepLines/>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DD04" w14:textId="77777777" w:rsidR="00024901" w:rsidRDefault="00024901">
      <w:r>
        <w:separator/>
      </w:r>
    </w:p>
  </w:endnote>
  <w:endnote w:type="continuationSeparator" w:id="0">
    <w:p w14:paraId="231B9610" w14:textId="77777777" w:rsidR="00024901" w:rsidRDefault="000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5144" w14:textId="77777777" w:rsidR="00313E3B" w:rsidRDefault="00313E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25A618D6" w:rsidR="00FD7B70" w:rsidRPr="00DD1EEB" w:rsidRDefault="00FD7B70">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2013F9">
          <w:rPr>
            <w:rFonts w:asciiTheme="majorHAnsi" w:hAnsiTheme="majorHAnsi"/>
            <w:noProof/>
            <w:sz w:val="20"/>
          </w:rPr>
          <w:t>4</w:t>
        </w:r>
        <w:r w:rsidRPr="00DD1EEB">
          <w:rPr>
            <w:rFonts w:asciiTheme="majorHAnsi" w:hAnsiTheme="majorHAnsi"/>
            <w:sz w:val="20"/>
          </w:rPr>
          <w:fldChar w:fldCharType="end"/>
        </w:r>
        <w:r w:rsidR="00313E3B">
          <w:rPr>
            <w:rFonts w:asciiTheme="majorHAnsi" w:hAnsiTheme="majorHAnsi"/>
            <w:sz w:val="20"/>
          </w:rPr>
          <w:t>/4</w:t>
        </w:r>
      </w:p>
    </w:sdtContent>
  </w:sdt>
  <w:p w14:paraId="264C578C" w14:textId="77777777" w:rsidR="00FD7B70" w:rsidRDefault="00FD7B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8E7A" w14:textId="77777777" w:rsidR="00313E3B" w:rsidRDefault="00313E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9082A" w14:textId="77777777" w:rsidR="00024901" w:rsidRDefault="00024901">
      <w:r>
        <w:separator/>
      </w:r>
    </w:p>
  </w:footnote>
  <w:footnote w:type="continuationSeparator" w:id="0">
    <w:p w14:paraId="248B343C" w14:textId="77777777" w:rsidR="00024901" w:rsidRDefault="0002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50619" w:rsidRDefault="006506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50619" w:rsidRDefault="006506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C3FC" w14:textId="77777777" w:rsidR="00313E3B" w:rsidRDefault="00313E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50619" w:rsidRDefault="0065061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Y5ICIxZr9tN82/5AJRF/p4IY3xpqZPVv5WKLkKygCb0mJHguCyfZ3EayBBlIPC9FHuZdkgThYrR1myDHId3Xg==" w:salt="DNCuCdPzpEtLLY2LGO20k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4901"/>
    <w:rsid w:val="00026510"/>
    <w:rsid w:val="0003341A"/>
    <w:rsid w:val="00034A91"/>
    <w:rsid w:val="00047669"/>
    <w:rsid w:val="00052F68"/>
    <w:rsid w:val="000606B5"/>
    <w:rsid w:val="000642F1"/>
    <w:rsid w:val="000705A4"/>
    <w:rsid w:val="00074D41"/>
    <w:rsid w:val="00081254"/>
    <w:rsid w:val="000924CB"/>
    <w:rsid w:val="0009537B"/>
    <w:rsid w:val="000A3A2C"/>
    <w:rsid w:val="000A5672"/>
    <w:rsid w:val="000B3292"/>
    <w:rsid w:val="000B330A"/>
    <w:rsid w:val="000B4F80"/>
    <w:rsid w:val="000C7C69"/>
    <w:rsid w:val="000D6780"/>
    <w:rsid w:val="000E02BD"/>
    <w:rsid w:val="000E0B77"/>
    <w:rsid w:val="000E0C0A"/>
    <w:rsid w:val="000E2624"/>
    <w:rsid w:val="000E7B44"/>
    <w:rsid w:val="00103D8C"/>
    <w:rsid w:val="001067CF"/>
    <w:rsid w:val="0011075D"/>
    <w:rsid w:val="001200A9"/>
    <w:rsid w:val="00122CAF"/>
    <w:rsid w:val="0014499C"/>
    <w:rsid w:val="001542E8"/>
    <w:rsid w:val="001570C7"/>
    <w:rsid w:val="001602D2"/>
    <w:rsid w:val="0016122B"/>
    <w:rsid w:val="00162152"/>
    <w:rsid w:val="00180F01"/>
    <w:rsid w:val="00182928"/>
    <w:rsid w:val="00183512"/>
    <w:rsid w:val="00185690"/>
    <w:rsid w:val="00190712"/>
    <w:rsid w:val="001A167B"/>
    <w:rsid w:val="001A1A9F"/>
    <w:rsid w:val="001A6C7E"/>
    <w:rsid w:val="001A6E09"/>
    <w:rsid w:val="001A7522"/>
    <w:rsid w:val="001A7688"/>
    <w:rsid w:val="001B500B"/>
    <w:rsid w:val="001B6021"/>
    <w:rsid w:val="001C265A"/>
    <w:rsid w:val="001C2C4C"/>
    <w:rsid w:val="001C6066"/>
    <w:rsid w:val="001C6CD8"/>
    <w:rsid w:val="001C757B"/>
    <w:rsid w:val="001F11C8"/>
    <w:rsid w:val="001F651F"/>
    <w:rsid w:val="002013F9"/>
    <w:rsid w:val="00206890"/>
    <w:rsid w:val="00207584"/>
    <w:rsid w:val="0021074E"/>
    <w:rsid w:val="00211313"/>
    <w:rsid w:val="00211A21"/>
    <w:rsid w:val="0022023B"/>
    <w:rsid w:val="00222727"/>
    <w:rsid w:val="00224581"/>
    <w:rsid w:val="00233981"/>
    <w:rsid w:val="00254352"/>
    <w:rsid w:val="0025666C"/>
    <w:rsid w:val="0025728E"/>
    <w:rsid w:val="00265B8A"/>
    <w:rsid w:val="00267923"/>
    <w:rsid w:val="00267FE8"/>
    <w:rsid w:val="00276DAD"/>
    <w:rsid w:val="00281D18"/>
    <w:rsid w:val="00282850"/>
    <w:rsid w:val="002A0162"/>
    <w:rsid w:val="002A0833"/>
    <w:rsid w:val="002A0915"/>
    <w:rsid w:val="002C5478"/>
    <w:rsid w:val="002D313A"/>
    <w:rsid w:val="002E0D4A"/>
    <w:rsid w:val="002E12E7"/>
    <w:rsid w:val="002E2A29"/>
    <w:rsid w:val="002E69A7"/>
    <w:rsid w:val="002F03A1"/>
    <w:rsid w:val="002F18FD"/>
    <w:rsid w:val="002F56A0"/>
    <w:rsid w:val="003007B3"/>
    <w:rsid w:val="00313E3B"/>
    <w:rsid w:val="00323963"/>
    <w:rsid w:val="00331726"/>
    <w:rsid w:val="003347D2"/>
    <w:rsid w:val="00335CEF"/>
    <w:rsid w:val="00337DBD"/>
    <w:rsid w:val="00341B67"/>
    <w:rsid w:val="003449D2"/>
    <w:rsid w:val="0034697E"/>
    <w:rsid w:val="00346B43"/>
    <w:rsid w:val="00351EDC"/>
    <w:rsid w:val="0035251E"/>
    <w:rsid w:val="00360A18"/>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22BDD"/>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6054"/>
    <w:rsid w:val="005477F1"/>
    <w:rsid w:val="00553ADF"/>
    <w:rsid w:val="00557050"/>
    <w:rsid w:val="00562DEA"/>
    <w:rsid w:val="00575A9E"/>
    <w:rsid w:val="00576C8D"/>
    <w:rsid w:val="00584C22"/>
    <w:rsid w:val="00586B01"/>
    <w:rsid w:val="00586F84"/>
    <w:rsid w:val="0058796A"/>
    <w:rsid w:val="0059427A"/>
    <w:rsid w:val="005A5CEA"/>
    <w:rsid w:val="005A79B9"/>
    <w:rsid w:val="005B3A76"/>
    <w:rsid w:val="005C3C17"/>
    <w:rsid w:val="005E5A92"/>
    <w:rsid w:val="005F1CCA"/>
    <w:rsid w:val="005F27A3"/>
    <w:rsid w:val="005F39AF"/>
    <w:rsid w:val="00601180"/>
    <w:rsid w:val="00605181"/>
    <w:rsid w:val="0061099A"/>
    <w:rsid w:val="0061340B"/>
    <w:rsid w:val="00617203"/>
    <w:rsid w:val="00632062"/>
    <w:rsid w:val="006341D7"/>
    <w:rsid w:val="00636177"/>
    <w:rsid w:val="00641A2A"/>
    <w:rsid w:val="006452AB"/>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C042E"/>
    <w:rsid w:val="006C54BE"/>
    <w:rsid w:val="006C70F2"/>
    <w:rsid w:val="006D2A54"/>
    <w:rsid w:val="006D3D28"/>
    <w:rsid w:val="006E1D63"/>
    <w:rsid w:val="006E28A8"/>
    <w:rsid w:val="006F3711"/>
    <w:rsid w:val="006F4807"/>
    <w:rsid w:val="0070547E"/>
    <w:rsid w:val="00705E4D"/>
    <w:rsid w:val="00706FA9"/>
    <w:rsid w:val="00713B8E"/>
    <w:rsid w:val="00713F03"/>
    <w:rsid w:val="007163DE"/>
    <w:rsid w:val="0071797A"/>
    <w:rsid w:val="00732FE1"/>
    <w:rsid w:val="007625E3"/>
    <w:rsid w:val="00762CD6"/>
    <w:rsid w:val="00770DFF"/>
    <w:rsid w:val="00774E55"/>
    <w:rsid w:val="00777047"/>
    <w:rsid w:val="007824FB"/>
    <w:rsid w:val="00795A48"/>
    <w:rsid w:val="00796B9B"/>
    <w:rsid w:val="007A33CB"/>
    <w:rsid w:val="007A4DD8"/>
    <w:rsid w:val="007A723A"/>
    <w:rsid w:val="007A7621"/>
    <w:rsid w:val="007B5ED5"/>
    <w:rsid w:val="007C0235"/>
    <w:rsid w:val="007D15B3"/>
    <w:rsid w:val="007D1869"/>
    <w:rsid w:val="007D1BA6"/>
    <w:rsid w:val="007D34E4"/>
    <w:rsid w:val="007D5B7C"/>
    <w:rsid w:val="007E0922"/>
    <w:rsid w:val="007E0C1B"/>
    <w:rsid w:val="007E1A29"/>
    <w:rsid w:val="007E4770"/>
    <w:rsid w:val="007E7040"/>
    <w:rsid w:val="007F5E2F"/>
    <w:rsid w:val="0080422D"/>
    <w:rsid w:val="00807C84"/>
    <w:rsid w:val="00810FAE"/>
    <w:rsid w:val="00826EF1"/>
    <w:rsid w:val="008316D1"/>
    <w:rsid w:val="008400B6"/>
    <w:rsid w:val="00840DA6"/>
    <w:rsid w:val="008431CB"/>
    <w:rsid w:val="008542C5"/>
    <w:rsid w:val="008577BE"/>
    <w:rsid w:val="00870235"/>
    <w:rsid w:val="008729DC"/>
    <w:rsid w:val="008749C6"/>
    <w:rsid w:val="00877C5A"/>
    <w:rsid w:val="008811CF"/>
    <w:rsid w:val="00883E93"/>
    <w:rsid w:val="0088546D"/>
    <w:rsid w:val="008A1D79"/>
    <w:rsid w:val="008A551A"/>
    <w:rsid w:val="008B5877"/>
    <w:rsid w:val="008B77AC"/>
    <w:rsid w:val="008C6833"/>
    <w:rsid w:val="008C79E1"/>
    <w:rsid w:val="008D24F8"/>
    <w:rsid w:val="008D2755"/>
    <w:rsid w:val="008D7F6C"/>
    <w:rsid w:val="008E25D2"/>
    <w:rsid w:val="008E5412"/>
    <w:rsid w:val="008E7853"/>
    <w:rsid w:val="008E78E3"/>
    <w:rsid w:val="008F0476"/>
    <w:rsid w:val="008F2986"/>
    <w:rsid w:val="008F4EFC"/>
    <w:rsid w:val="009025E7"/>
    <w:rsid w:val="00906019"/>
    <w:rsid w:val="009060D9"/>
    <w:rsid w:val="00907109"/>
    <w:rsid w:val="009149D7"/>
    <w:rsid w:val="00914BDE"/>
    <w:rsid w:val="00921803"/>
    <w:rsid w:val="00923C07"/>
    <w:rsid w:val="0093411A"/>
    <w:rsid w:val="00941F40"/>
    <w:rsid w:val="00945D81"/>
    <w:rsid w:val="00961CE8"/>
    <w:rsid w:val="00981DFE"/>
    <w:rsid w:val="00984C6F"/>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17A09"/>
    <w:rsid w:val="00A20E3C"/>
    <w:rsid w:val="00A23A9B"/>
    <w:rsid w:val="00A27DE8"/>
    <w:rsid w:val="00A307D7"/>
    <w:rsid w:val="00A44009"/>
    <w:rsid w:val="00A5562A"/>
    <w:rsid w:val="00A63066"/>
    <w:rsid w:val="00A73EAB"/>
    <w:rsid w:val="00A77DA1"/>
    <w:rsid w:val="00A85F10"/>
    <w:rsid w:val="00A860EE"/>
    <w:rsid w:val="00A87796"/>
    <w:rsid w:val="00A95D88"/>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EBB"/>
    <w:rsid w:val="00B06BCD"/>
    <w:rsid w:val="00B06EAF"/>
    <w:rsid w:val="00B07043"/>
    <w:rsid w:val="00B1108C"/>
    <w:rsid w:val="00B1508D"/>
    <w:rsid w:val="00B21FE9"/>
    <w:rsid w:val="00B315FD"/>
    <w:rsid w:val="00B323FA"/>
    <w:rsid w:val="00B37899"/>
    <w:rsid w:val="00B46F35"/>
    <w:rsid w:val="00B5117B"/>
    <w:rsid w:val="00B56927"/>
    <w:rsid w:val="00B62EA8"/>
    <w:rsid w:val="00B71465"/>
    <w:rsid w:val="00B7708E"/>
    <w:rsid w:val="00B770C6"/>
    <w:rsid w:val="00B77EAE"/>
    <w:rsid w:val="00B838E7"/>
    <w:rsid w:val="00B84EB2"/>
    <w:rsid w:val="00B87381"/>
    <w:rsid w:val="00B9404E"/>
    <w:rsid w:val="00B94E81"/>
    <w:rsid w:val="00B965E5"/>
    <w:rsid w:val="00BA1CBC"/>
    <w:rsid w:val="00BB07B3"/>
    <w:rsid w:val="00BB280B"/>
    <w:rsid w:val="00BB403D"/>
    <w:rsid w:val="00BB4859"/>
    <w:rsid w:val="00BB724F"/>
    <w:rsid w:val="00BB78CF"/>
    <w:rsid w:val="00BC6263"/>
    <w:rsid w:val="00BD0A6C"/>
    <w:rsid w:val="00BE12E9"/>
    <w:rsid w:val="00BE6653"/>
    <w:rsid w:val="00BF0C2F"/>
    <w:rsid w:val="00BF2D88"/>
    <w:rsid w:val="00BF5D53"/>
    <w:rsid w:val="00C23A95"/>
    <w:rsid w:val="00C256AB"/>
    <w:rsid w:val="00C306A8"/>
    <w:rsid w:val="00C40020"/>
    <w:rsid w:val="00C44498"/>
    <w:rsid w:val="00C45C41"/>
    <w:rsid w:val="00C50BC0"/>
    <w:rsid w:val="00C65149"/>
    <w:rsid w:val="00C74DE9"/>
    <w:rsid w:val="00C80E95"/>
    <w:rsid w:val="00C811A4"/>
    <w:rsid w:val="00C85C7C"/>
    <w:rsid w:val="00CA537F"/>
    <w:rsid w:val="00CB366D"/>
    <w:rsid w:val="00CC2FA7"/>
    <w:rsid w:val="00CC3DAF"/>
    <w:rsid w:val="00CF098C"/>
    <w:rsid w:val="00CF2EEA"/>
    <w:rsid w:val="00CF38E5"/>
    <w:rsid w:val="00CF41A9"/>
    <w:rsid w:val="00CF4BE5"/>
    <w:rsid w:val="00CF4F47"/>
    <w:rsid w:val="00D029B8"/>
    <w:rsid w:val="00D20E92"/>
    <w:rsid w:val="00D223B1"/>
    <w:rsid w:val="00D25523"/>
    <w:rsid w:val="00D304C4"/>
    <w:rsid w:val="00D35764"/>
    <w:rsid w:val="00D4287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765A"/>
    <w:rsid w:val="00DC33D8"/>
    <w:rsid w:val="00DC68BF"/>
    <w:rsid w:val="00DD181C"/>
    <w:rsid w:val="00DD1EEB"/>
    <w:rsid w:val="00DD62CD"/>
    <w:rsid w:val="00DE0E54"/>
    <w:rsid w:val="00DE1F63"/>
    <w:rsid w:val="00DF301F"/>
    <w:rsid w:val="00E039A1"/>
    <w:rsid w:val="00E111BC"/>
    <w:rsid w:val="00E122B4"/>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3B49"/>
    <w:rsid w:val="00E85360"/>
    <w:rsid w:val="00E96632"/>
    <w:rsid w:val="00E97442"/>
    <w:rsid w:val="00EA6988"/>
    <w:rsid w:val="00EA778E"/>
    <w:rsid w:val="00EB1051"/>
    <w:rsid w:val="00EC1134"/>
    <w:rsid w:val="00ED6BEE"/>
    <w:rsid w:val="00ED6ED4"/>
    <w:rsid w:val="00EE0E2F"/>
    <w:rsid w:val="00EE5DD2"/>
    <w:rsid w:val="00EE5FC3"/>
    <w:rsid w:val="00EE6547"/>
    <w:rsid w:val="00EE7418"/>
    <w:rsid w:val="00EF3874"/>
    <w:rsid w:val="00EF440F"/>
    <w:rsid w:val="00EF5E9C"/>
    <w:rsid w:val="00EF67B3"/>
    <w:rsid w:val="00EF6B99"/>
    <w:rsid w:val="00EF7BA8"/>
    <w:rsid w:val="00F02C0F"/>
    <w:rsid w:val="00F11DEA"/>
    <w:rsid w:val="00F13FD4"/>
    <w:rsid w:val="00F15462"/>
    <w:rsid w:val="00F16F02"/>
    <w:rsid w:val="00F17282"/>
    <w:rsid w:val="00F2121B"/>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B0066771-8CD5-4409-86E4-FDBE46CA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574200376">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78D8A431</Template>
  <TotalTime>23</TotalTime>
  <Pages>4</Pages>
  <Words>1419</Words>
  <Characters>7809</Characters>
  <Application>Microsoft Office Word</Application>
  <DocSecurity>8</DocSecurity>
  <Lines>65</Lines>
  <Paragraphs>18</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Indiana ZURBACH</cp:lastModifiedBy>
  <cp:revision>20</cp:revision>
  <cp:lastPrinted>2014-06-17T11:15:00Z</cp:lastPrinted>
  <dcterms:created xsi:type="dcterms:W3CDTF">2016-06-21T10:03:00Z</dcterms:created>
  <dcterms:modified xsi:type="dcterms:W3CDTF">2022-10-13T12:43:00Z</dcterms:modified>
</cp:coreProperties>
</file>